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黑体"/>
          <w:b/>
          <w:color w:val="auto"/>
          <w:sz w:val="44"/>
          <w:szCs w:val="44"/>
        </w:rPr>
      </w:pPr>
      <w:r>
        <w:rPr>
          <w:rFonts w:ascii="Times New Roman" w:hAnsi="Times New Roman" w:eastAsia="华文中宋"/>
          <w:b/>
          <w:color w:val="auto"/>
          <w:sz w:val="44"/>
          <w:szCs w:val="44"/>
        </w:rPr>
        <w:t>2022</w:t>
      </w:r>
      <w:r>
        <w:rPr>
          <w:rFonts w:hint="eastAsia" w:ascii="华文中宋" w:hAnsi="华文中宋" w:eastAsia="华文中宋" w:cs="黑体"/>
          <w:b/>
          <w:color w:val="auto"/>
          <w:sz w:val="44"/>
          <w:szCs w:val="44"/>
        </w:rPr>
        <w:t>年普通高校“专转本”</w:t>
      </w:r>
      <w:r>
        <w:rPr>
          <w:rFonts w:hint="eastAsia" w:ascii="华文中宋" w:hAnsi="华文中宋" w:eastAsia="华文中宋" w:cs="黑体"/>
          <w:b/>
          <w:color w:val="auto"/>
          <w:sz w:val="44"/>
          <w:szCs w:val="44"/>
          <w:lang w:val="en-US" w:eastAsia="zh-Hans"/>
        </w:rPr>
        <w:t>电子信息</w:t>
      </w:r>
      <w:r>
        <w:rPr>
          <w:rFonts w:hint="eastAsia" w:ascii="华文中宋" w:hAnsi="华文中宋" w:eastAsia="华文中宋" w:cs="黑体"/>
          <w:b/>
          <w:color w:val="auto"/>
          <w:sz w:val="44"/>
          <w:szCs w:val="44"/>
        </w:rPr>
        <w:t>专业大类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黑体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黑体"/>
          <w:b/>
          <w:color w:val="auto"/>
          <w:sz w:val="44"/>
          <w:szCs w:val="44"/>
        </w:rPr>
        <w:t>退役大学生士兵职业技能综合考查公告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根据《省教育厅 省退役军人事务厅 省人民政府征兵办公室关于2022年江苏省普通高校退役大学生士兵“专转本”招生工作的通知》（苏教学函【2022】2号）精神，现将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  <w:t>电子信息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专业大类退役大学生士兵职业技能综合考查相关事项公告如下：</w:t>
      </w:r>
    </w:p>
    <w:tbl>
      <w:tblPr>
        <w:tblStyle w:val="3"/>
        <w:tblpPr w:leftFromText="180" w:rightFromText="180" w:vertAnchor="text" w:horzAnchor="margin" w:tblpY="720"/>
        <w:tblOverlap w:val="never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2022"/>
        <w:gridCol w:w="244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考查科目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考查日期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考查时间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考查地点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Hans"/>
              </w:rPr>
              <w:t>电子信息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专业大类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退役大学生士兵职业技能综合考查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3月20日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9:00~10:40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南京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Hans"/>
              </w:rPr>
              <w:t>邮电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Hans"/>
              </w:rPr>
              <w:t>仙林校区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（地址：南京市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Hans"/>
              </w:rPr>
              <w:t>文苑路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9号）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一、考查时间及地点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二、准考证发放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考前3天，考生自行登录省教育考试院网站打印本人《准考证》。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三、考查内容及范围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依据已公布的江苏省普通高校“专转本”选拔考试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  <w:t>电子信息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类专业综合基础理论考试大纲。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四、咨询及监督方式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  <w:t>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  <w:t>殷老师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咨询电话：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025-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85866668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监督电话：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025-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85866836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联考委组成单位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南京邮电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大学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南京信息工程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大学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金陵科技学院  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南京工业职业技术大学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  <w:t>江苏大学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Hans"/>
        </w:rPr>
        <w:t xml:space="preserve">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  <w:t>无锡学院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常州大学                 江苏科技大学张家港校区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  <w:t>盐城师范学院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       江苏海洋大学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淮阴师范学院      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南京航空航天大学金城学院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南京理工大学紫金学院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南京工业大学浦江学院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  <w:t>南京邮电大学通达学院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Hans"/>
        </w:rPr>
        <w:t xml:space="preserve">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江苏大学京江学院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南京理工大学泰州科技学院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江苏师范大学科文学院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扬州大学广陵学院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考查防疫要求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考生应提前了解并确保自己符合考试所在地疫情防控政策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。备考期间不前往国内疫情中高风险地区或国（境）外，本地考生考前非必要不离开本地，尽量不参加聚集性活动，不到人群密集场所，出行时注意保持社交距离，做好个人防护。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考生应按疫情防控有关要求做好个人防护和健康管理，日常关注本人“苏康码”状况，做好考前14天内的每日测量体温工作。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须打印签署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考生健康应试承诺书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入校时提交现场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考试当天所有考生车辆及送考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一律不得进入校园。考生于202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月20日上午统一从学校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仙林校区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南门审核进校。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考生进校时需佩戴口罩按照指引排队，前后要求保持1米间距，须出示：准考证、身份证、48小时内新冠病毒核酸检测阴性证明(或在健康码中能够查询到）、苏康码、行程码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考生健康应试承诺书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，并按规划路线进入考场；请提前准备好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以上材料，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材料不全者不能进校。体温异常、苏康码非绿码等特殊情况，要配合工作人员按照规定流程处置。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Hans"/>
        </w:rPr>
        <w:t>电子信息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专业大类退役大学生士兵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职业技能综合联合考查委员会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    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hanging="2033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40"/>
          <w:szCs w:val="40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4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40"/>
          <w:szCs w:val="40"/>
          <w:lang w:val="en-US" w:eastAsia="zh-CN"/>
        </w:rPr>
        <w:br w:type="page"/>
      </w:r>
      <w:r>
        <w:rPr>
          <w:rFonts w:hint="eastAsia" w:ascii="Times New Roman" w:hAnsi="Times New Roman" w:eastAsia="华文中宋" w:cs="Times New Roman"/>
          <w:b/>
          <w:color w:val="auto"/>
          <w:sz w:val="44"/>
          <w:szCs w:val="44"/>
        </w:rPr>
        <w:t>考生健康应试承诺书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3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23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本人愿意遵守相关规定，承担社会疫情防控责任，并做如下承诺：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23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一、本人遵守疫情防控的相关要求，笔试当天苏康码、行程码均为绿码，考试前 48 小时内新冠病毒核酸检测结果为阴性。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23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二、本人在考前 28 天内没有国(境)外或国内疫情中高风险地区旅居史、没有与新型冠状病毒肺炎确诊或疑似病例有密切接触史。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23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三、本人在考前 14 天内没有国内疫情中高风险地区所在设区市(或直辖市的区)范围内低风险区域旅居史。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23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四、本人在考前 14 天内个人健康情况正常，没有发热、感冒、咽痛、咳嗽等症状，苏康码、行程码均为绿码。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237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五、若体温异常、苏康码非绿码等特殊情况，愿意配合工作人员按照规定流程处置。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20" w:right="98" w:firstLine="42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本人保证以上承诺信息真实、准确，并知悉与之相关的法律责任。如有瞒报、错报、漏报的情况，一切后果自负。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身份证号：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考生签名：                  日    期：  </w:t>
      </w:r>
    </w:p>
    <w:p/>
    <w:sectPr>
      <w:pgSz w:w="11906" w:h="16838"/>
      <w:pgMar w:top="1440" w:right="127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B7096"/>
    <w:multiLevelType w:val="multilevel"/>
    <w:tmpl w:val="2DDB7096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FE1D1"/>
    <w:rsid w:val="23E73493"/>
    <w:rsid w:val="78CFE1D1"/>
    <w:rsid w:val="CEF3D832"/>
    <w:rsid w:val="DEAFDC3F"/>
    <w:rsid w:val="ED770C52"/>
    <w:rsid w:val="EFE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2022-01-20T12:39:00Z</dcterms:created>
  <dc:creator>duyl</dc:creator>
  <cp:lastModifiedBy>JHJ</cp:lastModifiedBy>
  <dcterms:modified xsi:type="dcterms:W3CDTF">2022-01-21T01:59:32Z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9FB35A73F6B64F6EBEDB93E87F275D96</vt:lpwstr>
  </property>
</Properties>
</file>